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9A82" w14:textId="2F31FB31" w:rsidR="00693D8F" w:rsidRDefault="005612C2" w:rsidP="00693D8F">
      <w:pPr>
        <w:spacing w:line="360" w:lineRule="auto"/>
        <w:rPr>
          <w:rFonts w:eastAsia="Calibri" w:cs="Times New Roman"/>
          <w:b/>
        </w:rPr>
      </w:pPr>
      <w:r w:rsidRPr="005612C2">
        <w:rPr>
          <w:rFonts w:eastAsia="Calibri" w:cs="Times New Roman"/>
          <w:b/>
        </w:rPr>
        <w:t>MUUSIKA- JA FILMIKULTUURI ARENDAMISE, KOOLITUS- JA TEADUSPROGRAMMIDE FINANTSEERIMISE VÕI ANALOOGSETE EESMÄRKIDE TOETUSEKS AUTORIÕIGUSE SEADUSE § 27 LG 10 ALUSEL SAADUD TASU KASUTAMISE ARUANNE</w:t>
      </w:r>
    </w:p>
    <w:p w14:paraId="26CD6D9A" w14:textId="77777777" w:rsidR="005612C2" w:rsidRPr="00B27F97" w:rsidRDefault="005612C2" w:rsidP="00693D8F">
      <w:pPr>
        <w:spacing w:line="360" w:lineRule="auto"/>
        <w:rPr>
          <w:rFonts w:cs="Times New Roman"/>
          <w:szCs w:val="24"/>
        </w:rPr>
      </w:pPr>
    </w:p>
    <w:p w14:paraId="012132FD" w14:textId="279BB1E4" w:rsidR="00693D8F" w:rsidRPr="00B27F97" w:rsidRDefault="00693D8F" w:rsidP="00693D8F">
      <w:pPr>
        <w:spacing w:line="360" w:lineRule="auto"/>
        <w:rPr>
          <w:rFonts w:cs="Times New Roman"/>
          <w:szCs w:val="24"/>
        </w:rPr>
      </w:pPr>
      <w:r w:rsidRPr="00B27F97">
        <w:rPr>
          <w:rFonts w:cs="Times New Roman"/>
          <w:szCs w:val="24"/>
        </w:rPr>
        <w:t xml:space="preserve">Täidetud ja digiallkirjastatud </w:t>
      </w:r>
      <w:r>
        <w:rPr>
          <w:rFonts w:cs="Times New Roman"/>
          <w:szCs w:val="24"/>
        </w:rPr>
        <w:t>aruanne</w:t>
      </w:r>
      <w:r w:rsidRPr="00B27F97">
        <w:rPr>
          <w:rFonts w:cs="Times New Roman"/>
          <w:szCs w:val="24"/>
        </w:rPr>
        <w:t xml:space="preserve"> palume saata hiljemalt </w:t>
      </w:r>
      <w:r>
        <w:rPr>
          <w:rFonts w:cs="Times New Roman"/>
          <w:szCs w:val="24"/>
        </w:rPr>
        <w:t>2 kuu jooksul peale projekti lõppemist</w:t>
      </w:r>
      <w:r w:rsidRPr="00B27F97">
        <w:rPr>
          <w:rFonts w:cs="Times New Roman"/>
          <w:szCs w:val="24"/>
        </w:rPr>
        <w:t xml:space="preserve"> </w:t>
      </w:r>
      <w:hyperlink r:id="rId4" w:history="1">
        <w:r w:rsidRPr="00CE3586">
          <w:rPr>
            <w:rStyle w:val="Hyperlink"/>
            <w:rFonts w:cs="Times New Roman"/>
            <w:szCs w:val="24"/>
          </w:rPr>
          <w:t>info@just.ee</w:t>
        </w:r>
      </w:hyperlink>
      <w:r w:rsidRPr="00B27F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4A298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ruande esitamisel palume lähtuda vormist </w:t>
      </w:r>
      <w:proofErr w:type="spellStart"/>
      <w:r w:rsidRPr="004A298F">
        <w:rPr>
          <w:rFonts w:cs="Times New Roman"/>
          <w:b/>
          <w:szCs w:val="24"/>
        </w:rPr>
        <w:t>IOT_aruanne</w:t>
      </w:r>
      <w:proofErr w:type="spellEnd"/>
      <w:r w:rsidRPr="004A298F">
        <w:rPr>
          <w:rFonts w:cs="Times New Roman"/>
          <w:b/>
          <w:szCs w:val="24"/>
        </w:rPr>
        <w:t>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</w:p>
    <w:p w14:paraId="71ADCB81" w14:textId="77777777" w:rsidR="00693D8F" w:rsidRDefault="00693D8F" w:rsidP="00693D8F">
      <w:pPr>
        <w:spacing w:line="360" w:lineRule="auto"/>
        <w:rPr>
          <w:rFonts w:cs="Times New Roman"/>
          <w:szCs w:val="24"/>
        </w:rPr>
      </w:pPr>
    </w:p>
    <w:p w14:paraId="33650B87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693D8F" w14:paraId="6F212EF0" w14:textId="77777777" w:rsidTr="004A5EFC">
        <w:tc>
          <w:tcPr>
            <w:tcW w:w="2635" w:type="dxa"/>
          </w:tcPr>
          <w:p w14:paraId="4677FC34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nimi</w:t>
            </w:r>
          </w:p>
          <w:p w14:paraId="04133F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717D4DDE" w14:textId="2306CFF2" w:rsidR="00693D8F" w:rsidRDefault="007054CB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Eesti teatri aastaauhindade üleandmise lavastus ja teatripidu Von </w:t>
            </w:r>
            <w:proofErr w:type="spellStart"/>
            <w:r>
              <w:rPr>
                <w:rFonts w:cs="Times New Roman"/>
                <w:b/>
                <w:szCs w:val="24"/>
              </w:rPr>
              <w:t>Krahli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Teatris 27.03.2025</w:t>
            </w:r>
          </w:p>
        </w:tc>
      </w:tr>
      <w:tr w:rsidR="00693D8F" w14:paraId="19D98323" w14:textId="77777777" w:rsidTr="004A5EFC">
        <w:tc>
          <w:tcPr>
            <w:tcW w:w="2635" w:type="dxa"/>
          </w:tcPr>
          <w:p w14:paraId="67129F9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Organisatsiooni nimi</w:t>
            </w:r>
          </w:p>
          <w:p w14:paraId="5081BEDF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1C844861" w14:textId="55C95EE4" w:rsidR="00693D8F" w:rsidRDefault="007054CB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MTÜ Von </w:t>
            </w:r>
            <w:proofErr w:type="spellStart"/>
            <w:r>
              <w:rPr>
                <w:rFonts w:cs="Times New Roman"/>
                <w:b/>
                <w:szCs w:val="24"/>
              </w:rPr>
              <w:t>Krahli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Teater</w:t>
            </w:r>
          </w:p>
        </w:tc>
      </w:tr>
      <w:tr w:rsidR="00693D8F" w14:paraId="7FF75D7E" w14:textId="77777777" w:rsidTr="004A5EFC">
        <w:tc>
          <w:tcPr>
            <w:tcW w:w="2635" w:type="dxa"/>
          </w:tcPr>
          <w:p w14:paraId="48889D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Avalduse alusel saadud summa</w:t>
            </w:r>
          </w:p>
        </w:tc>
        <w:tc>
          <w:tcPr>
            <w:tcW w:w="6427" w:type="dxa"/>
          </w:tcPr>
          <w:p w14:paraId="3C14AB2B" w14:textId="0A92DD14" w:rsidR="00693D8F" w:rsidRDefault="007054CB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24 290 eurot</w:t>
            </w:r>
          </w:p>
        </w:tc>
      </w:tr>
    </w:tbl>
    <w:p w14:paraId="4FCAB8E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2F24B284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14:paraId="6FFD45A2" w14:textId="77777777" w:rsidTr="004A5EFC">
        <w:tc>
          <w:tcPr>
            <w:tcW w:w="3256" w:type="dxa"/>
          </w:tcPr>
          <w:p w14:paraId="2DE12CB3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327C9217" w14:textId="6E218ED0" w:rsidR="00693D8F" w:rsidRDefault="007054CB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Annika Vamper</w:t>
            </w:r>
          </w:p>
        </w:tc>
      </w:tr>
      <w:tr w:rsidR="00693D8F" w14:paraId="7BCE9DA2" w14:textId="77777777" w:rsidTr="004A5EFC">
        <w:tc>
          <w:tcPr>
            <w:tcW w:w="3256" w:type="dxa"/>
          </w:tcPr>
          <w:p w14:paraId="62654A6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62E4BA5E" w14:textId="752135E0" w:rsidR="00693D8F" w:rsidRDefault="007054CB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5275398</w:t>
            </w:r>
          </w:p>
        </w:tc>
      </w:tr>
      <w:tr w:rsidR="00693D8F" w14:paraId="574CE83B" w14:textId="77777777" w:rsidTr="004A5EFC">
        <w:tc>
          <w:tcPr>
            <w:tcW w:w="3256" w:type="dxa"/>
          </w:tcPr>
          <w:p w14:paraId="408248DC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6132073F" w14:textId="23D27E0A" w:rsidR="00693D8F" w:rsidRDefault="007054CB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annika@vonkrahl.ee</w:t>
            </w:r>
          </w:p>
        </w:tc>
      </w:tr>
    </w:tbl>
    <w:p w14:paraId="3C76124D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18A8D8E9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0961A52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lastRenderedPageBreak/>
        <w:t>PROJEKT</w:t>
      </w:r>
    </w:p>
    <w:p w14:paraId="397C6DB1" w14:textId="77777777" w:rsidR="00693D8F" w:rsidRDefault="00693D8F" w:rsidP="00693D8F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Projekti toimumise aeg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4C51F3AB" w14:textId="77777777" w:rsidTr="004A5EFC">
        <w:tc>
          <w:tcPr>
            <w:tcW w:w="9062" w:type="dxa"/>
          </w:tcPr>
          <w:p w14:paraId="6467C434" w14:textId="3BEAD8FC" w:rsidR="007054CB" w:rsidRDefault="007054CB" w:rsidP="007054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Ettevalmistus: jaanuar – märts 2025; ehitus: 24. – 26. märts 2025; proovid: 24. – 25. märts 2025; peaproovid: 26. ja 27. märts.2025. Rahvusvaheline teatripäev Von </w:t>
            </w:r>
            <w:proofErr w:type="spellStart"/>
            <w:r>
              <w:rPr>
                <w:rFonts w:cs="Times New Roman"/>
                <w:szCs w:val="24"/>
              </w:rPr>
              <w:t>Krahli</w:t>
            </w:r>
            <w:proofErr w:type="spellEnd"/>
            <w:r>
              <w:rPr>
                <w:rFonts w:cs="Times New Roman"/>
                <w:szCs w:val="24"/>
              </w:rPr>
              <w:t xml:space="preserve"> Teatris ja otseülekanne ETV2-s 27. märts 2025 kl 19:00</w:t>
            </w:r>
          </w:p>
          <w:p w14:paraId="7588F816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22A26D90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7EFDD676" w14:textId="77777777" w:rsidR="00693D8F" w:rsidRPr="00524DCD" w:rsidRDefault="00693D8F" w:rsidP="00693D8F">
      <w:pPr>
        <w:spacing w:line="360" w:lineRule="auto"/>
        <w:rPr>
          <w:rFonts w:cs="Times New Roman"/>
          <w:szCs w:val="24"/>
        </w:rPr>
      </w:pPr>
    </w:p>
    <w:p w14:paraId="6B1969EC" w14:textId="77777777" w:rsidR="00693D8F" w:rsidRDefault="00693D8F" w:rsidP="00693D8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toimumise lühikokkuvõte ja saavutatud tulemused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1ED6095E" w14:textId="77777777" w:rsidTr="004A5EFC">
        <w:tc>
          <w:tcPr>
            <w:tcW w:w="9062" w:type="dxa"/>
          </w:tcPr>
          <w:p w14:paraId="5534FA8B" w14:textId="563B8649" w:rsidR="00693D8F" w:rsidRDefault="00FC1A82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Von </w:t>
            </w:r>
            <w:proofErr w:type="spellStart"/>
            <w:r>
              <w:rPr>
                <w:rFonts w:cs="Times New Roman"/>
                <w:szCs w:val="24"/>
              </w:rPr>
              <w:t>Krahli</w:t>
            </w:r>
            <w:proofErr w:type="spellEnd"/>
            <w:r>
              <w:rPr>
                <w:rFonts w:cs="Times New Roman"/>
                <w:szCs w:val="24"/>
              </w:rPr>
              <w:t xml:space="preserve"> Teater oli rahvusvahelise teatripäeva piduliku </w:t>
            </w:r>
            <w:proofErr w:type="spellStart"/>
            <w:r>
              <w:rPr>
                <w:rFonts w:cs="Times New Roman"/>
                <w:szCs w:val="24"/>
              </w:rPr>
              <w:t>gala</w:t>
            </w:r>
            <w:proofErr w:type="spellEnd"/>
            <w:r>
              <w:rPr>
                <w:rFonts w:cs="Times New Roman"/>
                <w:szCs w:val="24"/>
              </w:rPr>
              <w:t xml:space="preserve"> korraldamise ja lavastamisega graafikus. </w:t>
            </w:r>
            <w:r w:rsidR="003305D5">
              <w:rPr>
                <w:rFonts w:cs="Times New Roman"/>
                <w:szCs w:val="24"/>
              </w:rPr>
              <w:t xml:space="preserve">Teatripäeva </w:t>
            </w:r>
            <w:proofErr w:type="spellStart"/>
            <w:r w:rsidR="003305D5">
              <w:rPr>
                <w:rFonts w:cs="Times New Roman"/>
                <w:szCs w:val="24"/>
              </w:rPr>
              <w:t>gala</w:t>
            </w:r>
            <w:proofErr w:type="spellEnd"/>
            <w:r w:rsidR="003305D5">
              <w:rPr>
                <w:rFonts w:cs="Times New Roman"/>
                <w:szCs w:val="24"/>
              </w:rPr>
              <w:t xml:space="preserve">, otseülekanne ETV2-s ja pidu toimus 27.märtsil 2025 Von </w:t>
            </w:r>
            <w:proofErr w:type="spellStart"/>
            <w:r w:rsidR="003305D5">
              <w:rPr>
                <w:rFonts w:cs="Times New Roman"/>
                <w:szCs w:val="24"/>
              </w:rPr>
              <w:t>Krahli</w:t>
            </w:r>
            <w:proofErr w:type="spellEnd"/>
            <w:r w:rsidR="003305D5">
              <w:rPr>
                <w:rFonts w:cs="Times New Roman"/>
                <w:szCs w:val="24"/>
              </w:rPr>
              <w:t xml:space="preserve"> teatris.</w:t>
            </w:r>
          </w:p>
          <w:p w14:paraId="0DA0233D" w14:textId="37688959" w:rsidR="00FC1A82" w:rsidRDefault="00FC1A82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Eelarvelistel põhjustel otsustasime loobuda lisaruumi </w:t>
            </w:r>
            <w:r w:rsidRPr="00FC1A82">
              <w:rPr>
                <w:rFonts w:cs="Times New Roman"/>
                <w:szCs w:val="24"/>
              </w:rPr>
              <w:t>rentimisest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FC1A82">
              <w:rPr>
                <w:rFonts w:cs="Times New Roman"/>
                <w:szCs w:val="24"/>
              </w:rPr>
              <w:t>Fotografiskas</w:t>
            </w:r>
            <w:proofErr w:type="spellEnd"/>
            <w:r w:rsidRPr="00FC1A82">
              <w:rPr>
                <w:rFonts w:cs="Times New Roman"/>
                <w:szCs w:val="24"/>
              </w:rPr>
              <w:t xml:space="preserve"> ning üritusetelgi ehitamisest garderoobiks maja ette. Ja see oli õige otsus - me ehitasime garderoobi Von </w:t>
            </w:r>
            <w:proofErr w:type="spellStart"/>
            <w:r w:rsidRPr="00FC1A82">
              <w:rPr>
                <w:rFonts w:cs="Times New Roman"/>
                <w:szCs w:val="24"/>
              </w:rPr>
              <w:t>Krahli</w:t>
            </w:r>
            <w:proofErr w:type="spellEnd"/>
            <w:r w:rsidRPr="00FC1A82">
              <w:rPr>
                <w:rFonts w:cs="Times New Roman"/>
                <w:szCs w:val="24"/>
              </w:rPr>
              <w:t xml:space="preserve"> proovisaali ning kogu teatripäeva publik mahtus ilusti ära Von </w:t>
            </w:r>
            <w:proofErr w:type="spellStart"/>
            <w:r w:rsidRPr="00FC1A82">
              <w:rPr>
                <w:rFonts w:cs="Times New Roman"/>
                <w:szCs w:val="24"/>
              </w:rPr>
              <w:t>Krahli</w:t>
            </w:r>
            <w:proofErr w:type="spellEnd"/>
            <w:r w:rsidRPr="00FC1A82">
              <w:rPr>
                <w:rFonts w:cs="Times New Roman"/>
                <w:szCs w:val="24"/>
              </w:rPr>
              <w:t xml:space="preserve"> teatri ruumidesse - suurde saali, kohvikusse, trupiruumi ja </w:t>
            </w:r>
            <w:proofErr w:type="spellStart"/>
            <w:r w:rsidRPr="00FC1A82">
              <w:rPr>
                <w:rFonts w:cs="Times New Roman"/>
                <w:szCs w:val="24"/>
              </w:rPr>
              <w:t>STLi</w:t>
            </w:r>
            <w:proofErr w:type="spellEnd"/>
            <w:r w:rsidRPr="00FC1A82">
              <w:rPr>
                <w:rFonts w:cs="Times New Roman"/>
                <w:szCs w:val="24"/>
              </w:rPr>
              <w:t xml:space="preserve"> saali.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069FE76" w14:textId="52E1A07B" w:rsidR="007A32B0" w:rsidRDefault="007A32B0" w:rsidP="004A5EFC">
            <w:pPr>
              <w:spacing w:line="360" w:lineRule="auto"/>
              <w:rPr>
                <w:rFonts w:cs="Times New Roman"/>
                <w:szCs w:val="24"/>
              </w:rPr>
            </w:pPr>
            <w:r w:rsidRPr="007A32B0">
              <w:rPr>
                <w:rFonts w:cs="Times New Roman"/>
                <w:szCs w:val="24"/>
              </w:rPr>
              <w:t xml:space="preserve">Ei mingil muul kui ikka eelarvelistel põhjustel ei saanud me pakkuda tervitusnapsi ja suupisteid kõigile külalistele. Lauad veini- ja suupistetega olid kaetud nominentidele, </w:t>
            </w:r>
            <w:proofErr w:type="spellStart"/>
            <w:r w:rsidRPr="007A32B0">
              <w:rPr>
                <w:rFonts w:cs="Times New Roman"/>
                <w:szCs w:val="24"/>
              </w:rPr>
              <w:t>žüriililiikmetele</w:t>
            </w:r>
            <w:proofErr w:type="spellEnd"/>
            <w:r w:rsidRPr="007A32B0">
              <w:rPr>
                <w:rFonts w:cs="Times New Roman"/>
                <w:szCs w:val="24"/>
              </w:rPr>
              <w:t xml:space="preserve"> ja teistele, kes istusid teleülekande ajal suures saalis. Küll aga olid avatud üle maja baarid, kust sai osta tavapärasest soodsama hinnaga alkoholi ning Von </w:t>
            </w:r>
            <w:proofErr w:type="spellStart"/>
            <w:r w:rsidRPr="007A32B0">
              <w:rPr>
                <w:rFonts w:cs="Times New Roman"/>
                <w:szCs w:val="24"/>
              </w:rPr>
              <w:t>Krahli</w:t>
            </w:r>
            <w:proofErr w:type="spellEnd"/>
            <w:r w:rsidRPr="007A32B0">
              <w:rPr>
                <w:rFonts w:cs="Times New Roman"/>
                <w:szCs w:val="24"/>
              </w:rPr>
              <w:t xml:space="preserve"> kohvikuletist ka süüa.</w:t>
            </w:r>
          </w:p>
          <w:p w14:paraId="1B48CCB3" w14:textId="0DBB033A" w:rsidR="007A32B0" w:rsidRDefault="00955D7A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</w:t>
            </w:r>
            <w:r w:rsidR="002C2D0C">
              <w:rPr>
                <w:rFonts w:cs="Times New Roman"/>
                <w:szCs w:val="24"/>
              </w:rPr>
              <w:t xml:space="preserve"> soovisime</w:t>
            </w:r>
            <w:r>
              <w:rPr>
                <w:rFonts w:cs="Times New Roman"/>
                <w:szCs w:val="24"/>
              </w:rPr>
              <w:t>, et külalised end meie juures hästi tunneksid</w:t>
            </w:r>
            <w:r w:rsidR="002C2D0C">
              <w:rPr>
                <w:rFonts w:cs="Times New Roman"/>
                <w:szCs w:val="24"/>
              </w:rPr>
              <w:t xml:space="preserve"> – n</w:t>
            </w:r>
            <w:r>
              <w:rPr>
                <w:rFonts w:cs="Times New Roman"/>
                <w:szCs w:val="24"/>
              </w:rPr>
              <w:t>ominentidele</w:t>
            </w:r>
            <w:r w:rsidR="002C2D0C">
              <w:rPr>
                <w:rFonts w:cs="Times New Roman"/>
                <w:szCs w:val="24"/>
              </w:rPr>
              <w:t xml:space="preserve"> ja </w:t>
            </w:r>
            <w:r>
              <w:rPr>
                <w:rFonts w:cs="Times New Roman"/>
                <w:szCs w:val="24"/>
              </w:rPr>
              <w:t xml:space="preserve"> žüriiliikmetele olid kaetud pikad peolauad teleülekande ajaks suurde saali, ülejäänud publik sai teleülekandest osa suurte ekraanide vahendusel Von </w:t>
            </w:r>
            <w:proofErr w:type="spellStart"/>
            <w:r>
              <w:rPr>
                <w:rFonts w:cs="Times New Roman"/>
                <w:szCs w:val="24"/>
              </w:rPr>
              <w:t>Krahli</w:t>
            </w:r>
            <w:proofErr w:type="spellEnd"/>
            <w:r>
              <w:rPr>
                <w:rFonts w:cs="Times New Roman"/>
                <w:szCs w:val="24"/>
              </w:rPr>
              <w:t xml:space="preserve"> kohvikus, </w:t>
            </w:r>
            <w:proofErr w:type="spellStart"/>
            <w:r>
              <w:rPr>
                <w:rFonts w:cs="Times New Roman"/>
                <w:szCs w:val="24"/>
              </w:rPr>
              <w:t>STLi</w:t>
            </w:r>
            <w:proofErr w:type="spellEnd"/>
            <w:r>
              <w:rPr>
                <w:rFonts w:cs="Times New Roman"/>
                <w:szCs w:val="24"/>
              </w:rPr>
              <w:t xml:space="preserve"> saalis ning trupiruumis</w:t>
            </w:r>
            <w:r w:rsidR="002C2D0C">
              <w:rPr>
                <w:rFonts w:cs="Times New Roman"/>
                <w:szCs w:val="24"/>
              </w:rPr>
              <w:t>, sest kogu publik meie saali ära ei mahu.</w:t>
            </w:r>
            <w:r>
              <w:rPr>
                <w:rFonts w:cs="Times New Roman"/>
                <w:szCs w:val="24"/>
              </w:rPr>
              <w:t xml:space="preserve"> Pärast teleülekande lõppu oli suur saal tantsuks avatud kõigile. </w:t>
            </w:r>
          </w:p>
          <w:p w14:paraId="65A00FBF" w14:textId="4E452F18" w:rsidR="00A2775D" w:rsidRDefault="00A2775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Meid külastas kohapeal </w:t>
            </w:r>
            <w:r w:rsidR="003305D5">
              <w:rPr>
                <w:rFonts w:cs="Times New Roman"/>
                <w:szCs w:val="24"/>
              </w:rPr>
              <w:t>ligikaudu 700</w:t>
            </w:r>
            <w:r>
              <w:rPr>
                <w:rFonts w:cs="Times New Roman"/>
                <w:szCs w:val="24"/>
              </w:rPr>
              <w:t xml:space="preserve"> inimest, teleülekande vaatajaskond oli </w:t>
            </w:r>
            <w:r w:rsidR="003305D5">
              <w:rPr>
                <w:rFonts w:cs="Times New Roman"/>
                <w:szCs w:val="24"/>
              </w:rPr>
              <w:t>ligikaudu</w:t>
            </w:r>
            <w:r>
              <w:rPr>
                <w:rFonts w:cs="Times New Roman"/>
                <w:szCs w:val="24"/>
              </w:rPr>
              <w:t xml:space="preserve"> 100 000 inimest.</w:t>
            </w:r>
          </w:p>
          <w:p w14:paraId="15AB5F51" w14:textId="1D8EDF4E" w:rsidR="002C2D0C" w:rsidRDefault="00000B50" w:rsidP="00000B50">
            <w:r>
              <w:t xml:space="preserve">Tsiteerime kokkuvõtte ja tulemuse sõnastamiseks Liis Seljamaa sõnu arvustusest „Pidu pärast „kümmet aastat teatrivaikust“ (28.03.2025 Eesti Päevaleht; LP kultuur </w:t>
            </w:r>
            <w:hyperlink r:id="rId5" w:history="1">
              <w:r w:rsidRPr="004134BA">
                <w:rPr>
                  <w:rStyle w:val="Hyperlink"/>
                </w:rPr>
                <w:t>https://epl.delfi.ee/artikkel/120366721/arvustus-pidu-parast-kummet-aastat-teatrivaikust-teatrigala-oli-sungest-alatoonist-hoolimata-vordlemisi-humoorikas</w:t>
              </w:r>
            </w:hyperlink>
            <w:r>
              <w:t xml:space="preserve">): </w:t>
            </w:r>
          </w:p>
          <w:p w14:paraId="02535261" w14:textId="713AA099" w:rsidR="002C2D0C" w:rsidRPr="002C2D0C" w:rsidRDefault="00000B50" w:rsidP="00000B50">
            <w:r>
              <w:t>„</w:t>
            </w:r>
            <w:r w:rsidR="002C2D0C" w:rsidRPr="002C2D0C">
              <w:t>Võibolla ongi Von Krahl leidnud selleks peoks parima vormi ja annab eeskuju tulevastele teatripidudele.</w:t>
            </w:r>
          </w:p>
          <w:p w14:paraId="04E760C7" w14:textId="043FCB7F" w:rsidR="002C2D0C" w:rsidRPr="002C2D0C" w:rsidRDefault="002C2D0C" w:rsidP="00000B50">
            <w:r w:rsidRPr="002C2D0C">
              <w:t xml:space="preserve">See poleks üldse paha variant, sest „casual dressing“, Theodori silm kartulikorvis, lühikesed (iroonilised) sõnavõtud ja tempokas eeskava (sest mida sa ikka venitad, auhindu tuleb </w:t>
            </w:r>
            <w:r w:rsidRPr="002C2D0C">
              <w:lastRenderedPageBreak/>
              <w:t>muudkui juurde, lõpuks ei jaksa keegi ju pikki kõnesid kuulata, eriti kui tegelikult tahaks tantsu lüüa) sünnitab teatriõhtu, mida nii ekraanilt kui saalist võrdselt nautida saab.</w:t>
            </w:r>
            <w:r w:rsidR="00000B50">
              <w:t>“</w:t>
            </w:r>
          </w:p>
          <w:p w14:paraId="0DD42682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1B90E4AD" w14:textId="77777777" w:rsidR="003305D5" w:rsidRDefault="003305D5" w:rsidP="00000B50">
      <w:pPr>
        <w:rPr>
          <w:rFonts w:cs="Times New Roman"/>
          <w:b/>
          <w:szCs w:val="24"/>
        </w:rPr>
      </w:pPr>
    </w:p>
    <w:p w14:paraId="6EF80ECD" w14:textId="77777777" w:rsidR="003305D5" w:rsidRDefault="003305D5" w:rsidP="00000B50">
      <w:pPr>
        <w:rPr>
          <w:rFonts w:cs="Times New Roman"/>
          <w:b/>
          <w:szCs w:val="24"/>
        </w:rPr>
      </w:pPr>
    </w:p>
    <w:p w14:paraId="6230C1B9" w14:textId="20A181AA" w:rsidR="00693D8F" w:rsidRDefault="00693D8F" w:rsidP="00000B50">
      <w:pPr>
        <w:rPr>
          <w:rFonts w:cs="Times New Roman"/>
          <w:b/>
          <w:szCs w:val="24"/>
        </w:rPr>
      </w:pPr>
      <w:r w:rsidRPr="00FF1BB8">
        <w:rPr>
          <w:rFonts w:cs="Times New Roman"/>
          <w:b/>
          <w:szCs w:val="24"/>
        </w:rPr>
        <w:t>EELARVE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39"/>
        <w:gridCol w:w="3226"/>
      </w:tblGrid>
      <w:tr w:rsidR="00693D8F" w14:paraId="0641CFEE" w14:textId="77777777" w:rsidTr="0005797B">
        <w:tc>
          <w:tcPr>
            <w:tcW w:w="3397" w:type="dxa"/>
          </w:tcPr>
          <w:p w14:paraId="0384BD63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439" w:type="dxa"/>
          </w:tcPr>
          <w:p w14:paraId="16623704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3226" w:type="dxa"/>
          </w:tcPr>
          <w:p w14:paraId="50E542D5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390C8EB4" w14:textId="77777777" w:rsidTr="0005797B">
        <w:tc>
          <w:tcPr>
            <w:tcW w:w="3397" w:type="dxa"/>
          </w:tcPr>
          <w:p w14:paraId="21939D6D" w14:textId="77777777" w:rsidR="0005797B" w:rsidRPr="00FD5FCD" w:rsidRDefault="0005797B" w:rsidP="0005797B">
            <w:pPr>
              <w:rPr>
                <w:rFonts w:cs="Times New Roman"/>
                <w:color w:val="000000"/>
              </w:rPr>
            </w:pPr>
            <w:proofErr w:type="spellStart"/>
            <w:r w:rsidRPr="00FD5FCD">
              <w:rPr>
                <w:rFonts w:cs="Times New Roman"/>
                <w:color w:val="000000"/>
              </w:rPr>
              <w:t>Led</w:t>
            </w:r>
            <w:proofErr w:type="spellEnd"/>
            <w:r w:rsidRPr="00FD5FCD">
              <w:rPr>
                <w:rFonts w:cs="Times New Roman"/>
                <w:color w:val="000000"/>
              </w:rPr>
              <w:t xml:space="preserve">-ekraanide, valgus- ja helitehnika rent </w:t>
            </w:r>
          </w:p>
          <w:p w14:paraId="25D29C2E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39" w:type="dxa"/>
          </w:tcPr>
          <w:p w14:paraId="1BBE4577" w14:textId="3D5CC995" w:rsidR="00693D8F" w:rsidRDefault="0005797B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>13</w:t>
            </w:r>
            <w:r w:rsidR="003305D5">
              <w:rPr>
                <w:rFonts w:cs="Times New Roman"/>
                <w:bCs/>
                <w:szCs w:val="24"/>
              </w:rPr>
              <w:t xml:space="preserve"> </w:t>
            </w:r>
            <w:r w:rsidRPr="00FD5FCD">
              <w:rPr>
                <w:rFonts w:cs="Times New Roman"/>
                <w:bCs/>
                <w:szCs w:val="24"/>
              </w:rPr>
              <w:t>420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F37A32">
              <w:rPr>
                <w:rFonts w:cs="Times New Roman"/>
                <w:bCs/>
                <w:szCs w:val="24"/>
              </w:rPr>
              <w:t>eurot</w:t>
            </w:r>
          </w:p>
        </w:tc>
        <w:tc>
          <w:tcPr>
            <w:tcW w:w="3226" w:type="dxa"/>
          </w:tcPr>
          <w:p w14:paraId="6D7B94E9" w14:textId="03E8B2F1" w:rsidR="00693D8F" w:rsidRPr="00CE6A1C" w:rsidRDefault="00CE6A1C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CE6A1C">
              <w:rPr>
                <w:rFonts w:cs="Times New Roman"/>
                <w:bCs/>
                <w:szCs w:val="24"/>
              </w:rPr>
              <w:t>19 269 eurot</w:t>
            </w:r>
          </w:p>
        </w:tc>
      </w:tr>
      <w:tr w:rsidR="00693D8F" w14:paraId="58B813F7" w14:textId="77777777" w:rsidTr="0005797B">
        <w:tc>
          <w:tcPr>
            <w:tcW w:w="3397" w:type="dxa"/>
          </w:tcPr>
          <w:p w14:paraId="31CB6423" w14:textId="79AF0BE5" w:rsidR="00693D8F" w:rsidRDefault="0005797B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>Sündmuse saali videopilt ning heli-, valguse- ja lavatehnikaga seotud teenu</w:t>
            </w:r>
            <w:r w:rsidR="002E26E1">
              <w:rPr>
                <w:rFonts w:cs="Times New Roman"/>
                <w:bCs/>
                <w:szCs w:val="24"/>
              </w:rPr>
              <w:t>se</w:t>
            </w:r>
            <w:r w:rsidRPr="00FD5FCD">
              <w:rPr>
                <w:rFonts w:cs="Times New Roman"/>
                <w:bCs/>
                <w:szCs w:val="24"/>
              </w:rPr>
              <w:t>d (mitte ERR)</w:t>
            </w:r>
          </w:p>
        </w:tc>
        <w:tc>
          <w:tcPr>
            <w:tcW w:w="2439" w:type="dxa"/>
          </w:tcPr>
          <w:p w14:paraId="62CD56E6" w14:textId="6745FD71" w:rsidR="00693D8F" w:rsidRPr="009D3594" w:rsidRDefault="009D3594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13</w:t>
            </w:r>
            <w:r>
              <w:rPr>
                <w:rFonts w:cs="Times New Roman"/>
                <w:bCs/>
                <w:szCs w:val="24"/>
              </w:rPr>
              <w:t> </w:t>
            </w:r>
            <w:r w:rsidRPr="009D3594">
              <w:rPr>
                <w:rFonts w:cs="Times New Roman"/>
                <w:bCs/>
                <w:szCs w:val="24"/>
              </w:rPr>
              <w:t>600</w:t>
            </w:r>
            <w:r>
              <w:rPr>
                <w:rFonts w:cs="Times New Roman"/>
                <w:bCs/>
                <w:szCs w:val="24"/>
              </w:rPr>
              <w:t xml:space="preserve"> eurot</w:t>
            </w:r>
          </w:p>
        </w:tc>
        <w:tc>
          <w:tcPr>
            <w:tcW w:w="3226" w:type="dxa"/>
          </w:tcPr>
          <w:p w14:paraId="7A8B9AA1" w14:textId="4E7F03AC" w:rsidR="00693D8F" w:rsidRPr="00CE6A1C" w:rsidRDefault="002E26E1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18172</w:t>
            </w:r>
            <w:r w:rsidR="00CE6A1C" w:rsidRPr="00CE6A1C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556F1579" w14:textId="77777777" w:rsidTr="0005797B">
        <w:tc>
          <w:tcPr>
            <w:tcW w:w="3397" w:type="dxa"/>
          </w:tcPr>
          <w:p w14:paraId="28E2BFC7" w14:textId="74EA90F8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 xml:space="preserve">Suure saali, proovisaali, </w:t>
            </w:r>
            <w:proofErr w:type="spellStart"/>
            <w:r w:rsidRPr="00FD5FCD">
              <w:rPr>
                <w:rFonts w:cs="Times New Roman"/>
                <w:bCs/>
                <w:szCs w:val="24"/>
              </w:rPr>
              <w:t>STLi</w:t>
            </w:r>
            <w:proofErr w:type="spellEnd"/>
            <w:r w:rsidRPr="00FD5FCD">
              <w:rPr>
                <w:rFonts w:cs="Times New Roman"/>
                <w:bCs/>
                <w:szCs w:val="24"/>
              </w:rPr>
              <w:t xml:space="preserve"> saali ja garderoobitelgi ehitus ja tehnika rent</w:t>
            </w:r>
          </w:p>
        </w:tc>
        <w:tc>
          <w:tcPr>
            <w:tcW w:w="2439" w:type="dxa"/>
          </w:tcPr>
          <w:p w14:paraId="1DE3EEFD" w14:textId="2BAE1D64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</w:t>
            </w:r>
            <w:r w:rsidR="003305D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890 eurot</w:t>
            </w:r>
          </w:p>
        </w:tc>
        <w:tc>
          <w:tcPr>
            <w:tcW w:w="3226" w:type="dxa"/>
          </w:tcPr>
          <w:p w14:paraId="4C543481" w14:textId="51AA4B03" w:rsidR="009D3594" w:rsidRPr="00DB5E21" w:rsidRDefault="002E26E1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19</w:t>
            </w:r>
            <w:r w:rsidR="003305D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016</w:t>
            </w:r>
            <w:r w:rsidR="00DB5E21" w:rsidRPr="00DB5E21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1648204F" w14:textId="77777777" w:rsidTr="0005797B">
        <w:tc>
          <w:tcPr>
            <w:tcW w:w="3397" w:type="dxa"/>
          </w:tcPr>
          <w:p w14:paraId="2197B048" w14:textId="53B57ED0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>Videote ja vaheklippide valmistamine</w:t>
            </w:r>
          </w:p>
        </w:tc>
        <w:tc>
          <w:tcPr>
            <w:tcW w:w="2439" w:type="dxa"/>
          </w:tcPr>
          <w:p w14:paraId="53526E28" w14:textId="0F7A0A01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2850 eurot</w:t>
            </w:r>
          </w:p>
        </w:tc>
        <w:tc>
          <w:tcPr>
            <w:tcW w:w="3226" w:type="dxa"/>
          </w:tcPr>
          <w:p w14:paraId="1C58D09F" w14:textId="72CDC570" w:rsidR="009D3594" w:rsidRPr="00DB5E21" w:rsidRDefault="00DB5E21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DB5E21">
              <w:rPr>
                <w:rFonts w:cs="Times New Roman"/>
                <w:bCs/>
                <w:szCs w:val="24"/>
              </w:rPr>
              <w:t>900 eurot</w:t>
            </w:r>
          </w:p>
        </w:tc>
      </w:tr>
      <w:tr w:rsidR="009D3594" w14:paraId="32AE9E26" w14:textId="77777777" w:rsidTr="0005797B">
        <w:tc>
          <w:tcPr>
            <w:tcW w:w="3397" w:type="dxa"/>
          </w:tcPr>
          <w:p w14:paraId="680C212E" w14:textId="68FA4009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>Auhinnad, kutsed jms nominentide ning laureaatidega seotud kulud</w:t>
            </w:r>
          </w:p>
        </w:tc>
        <w:tc>
          <w:tcPr>
            <w:tcW w:w="2439" w:type="dxa"/>
          </w:tcPr>
          <w:p w14:paraId="3461E18A" w14:textId="38D2F2AC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5530 eurot</w:t>
            </w:r>
          </w:p>
        </w:tc>
        <w:tc>
          <w:tcPr>
            <w:tcW w:w="3226" w:type="dxa"/>
          </w:tcPr>
          <w:p w14:paraId="2A164054" w14:textId="3A2B2479" w:rsidR="009D3594" w:rsidRPr="00F37A32" w:rsidRDefault="00F37A32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F37A32">
              <w:rPr>
                <w:rFonts w:cs="Times New Roman"/>
                <w:bCs/>
                <w:szCs w:val="24"/>
              </w:rPr>
              <w:t>5557 eurot</w:t>
            </w:r>
          </w:p>
        </w:tc>
      </w:tr>
      <w:tr w:rsidR="009D3594" w14:paraId="40203711" w14:textId="77777777" w:rsidTr="0005797B">
        <w:tc>
          <w:tcPr>
            <w:tcW w:w="3397" w:type="dxa"/>
          </w:tcPr>
          <w:p w14:paraId="6FF5E427" w14:textId="1AAC3372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>Ruumide rent (</w:t>
            </w:r>
            <w:proofErr w:type="spellStart"/>
            <w:r w:rsidRPr="00FD5FCD">
              <w:rPr>
                <w:rFonts w:cs="Times New Roman"/>
                <w:bCs/>
                <w:szCs w:val="24"/>
              </w:rPr>
              <w:t>Fotografiska</w:t>
            </w:r>
            <w:proofErr w:type="spellEnd"/>
            <w:r w:rsidRPr="00FD5FCD">
              <w:rPr>
                <w:rFonts w:cs="Times New Roman"/>
                <w:bCs/>
                <w:szCs w:val="24"/>
              </w:rPr>
              <w:t xml:space="preserve"> tagumine saal ja esimene saal 2 päeva ning </w:t>
            </w:r>
            <w:proofErr w:type="spellStart"/>
            <w:r w:rsidRPr="00FD5FCD">
              <w:rPr>
                <w:rFonts w:cs="Times New Roman"/>
                <w:bCs/>
                <w:szCs w:val="24"/>
              </w:rPr>
              <w:t>STLi</w:t>
            </w:r>
            <w:proofErr w:type="spellEnd"/>
            <w:r w:rsidRPr="00FD5FCD">
              <w:rPr>
                <w:rFonts w:cs="Times New Roman"/>
                <w:bCs/>
                <w:szCs w:val="24"/>
              </w:rPr>
              <w:t xml:space="preserve"> saal 4p</w:t>
            </w:r>
            <w:r w:rsidR="00363FFC">
              <w:rPr>
                <w:rFonts w:cs="Times New Roman"/>
                <w:bCs/>
                <w:szCs w:val="24"/>
              </w:rPr>
              <w:t xml:space="preserve"> </w:t>
            </w:r>
            <w:r w:rsidR="00363FFC" w:rsidRPr="004052CA">
              <w:rPr>
                <w:rFonts w:cs="Times New Roman"/>
                <w:bCs/>
                <w:color w:val="000000" w:themeColor="text1"/>
                <w:szCs w:val="24"/>
              </w:rPr>
              <w:t>Telliskivi 60A/9 suur saal, väike saal, proovisaal kohvik</w:t>
            </w:r>
            <w:r w:rsidRPr="004052CA">
              <w:rPr>
                <w:rFonts w:cs="Times New Roman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39" w:type="dxa"/>
          </w:tcPr>
          <w:p w14:paraId="473EAFE4" w14:textId="7703B046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9900 eurot</w:t>
            </w:r>
          </w:p>
        </w:tc>
        <w:tc>
          <w:tcPr>
            <w:tcW w:w="3226" w:type="dxa"/>
          </w:tcPr>
          <w:p w14:paraId="4AEEA441" w14:textId="750D768C" w:rsidR="009D3594" w:rsidRPr="00F37A32" w:rsidRDefault="00363FFC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7092</w:t>
            </w:r>
            <w:r w:rsidR="00F37A32" w:rsidRPr="00F37A32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77F5DA98" w14:textId="77777777" w:rsidTr="0005797B">
        <w:tc>
          <w:tcPr>
            <w:tcW w:w="3397" w:type="dxa"/>
          </w:tcPr>
          <w:p w14:paraId="2EED5EC5" w14:textId="4E2FD646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FD5FCD">
              <w:rPr>
                <w:rFonts w:cs="Times New Roman"/>
                <w:bCs/>
                <w:szCs w:val="24"/>
              </w:rPr>
              <w:t>Mittekoosseisuliste personalikulud (6 näitlejat-õhtujuhti</w:t>
            </w:r>
            <w:r>
              <w:rPr>
                <w:rFonts w:cs="Times New Roman"/>
                <w:bCs/>
                <w:szCs w:val="24"/>
              </w:rPr>
              <w:t>-vaheklippide tegijat,</w:t>
            </w:r>
            <w:r w:rsidRPr="00FD5FCD">
              <w:rPr>
                <w:rFonts w:cs="Times New Roman"/>
                <w:bCs/>
                <w:szCs w:val="24"/>
              </w:rPr>
              <w:t xml:space="preserve"> kunstnik, dramaturg, grimm, fotograafid, valguskunstnik,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FD5FCD">
              <w:rPr>
                <w:rFonts w:cs="Times New Roman"/>
                <w:bCs/>
                <w:szCs w:val="24"/>
              </w:rPr>
              <w:t>projektijuht,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FD5FCD">
              <w:rPr>
                <w:rFonts w:cs="Times New Roman"/>
                <w:bCs/>
                <w:szCs w:val="24"/>
              </w:rPr>
              <w:t>garderoobitöötajad)</w:t>
            </w:r>
          </w:p>
        </w:tc>
        <w:tc>
          <w:tcPr>
            <w:tcW w:w="2439" w:type="dxa"/>
          </w:tcPr>
          <w:p w14:paraId="63596C01" w14:textId="0D0C8916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25</w:t>
            </w:r>
            <w:r w:rsidR="003305D5">
              <w:rPr>
                <w:rFonts w:cs="Times New Roman"/>
                <w:bCs/>
                <w:szCs w:val="24"/>
              </w:rPr>
              <w:t xml:space="preserve"> </w:t>
            </w:r>
            <w:r w:rsidRPr="009D3594">
              <w:rPr>
                <w:rFonts w:cs="Times New Roman"/>
                <w:bCs/>
                <w:szCs w:val="24"/>
              </w:rPr>
              <w:t>322 eurot</w:t>
            </w:r>
          </w:p>
        </w:tc>
        <w:tc>
          <w:tcPr>
            <w:tcW w:w="3226" w:type="dxa"/>
          </w:tcPr>
          <w:p w14:paraId="7891444B" w14:textId="62AE2EDC" w:rsidR="009D3594" w:rsidRPr="00420A46" w:rsidRDefault="00420A4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20 </w:t>
            </w:r>
            <w:r w:rsidR="00CE6A1C">
              <w:rPr>
                <w:rFonts w:cs="Times New Roman"/>
                <w:bCs/>
                <w:szCs w:val="24"/>
              </w:rPr>
              <w:t>918</w:t>
            </w:r>
            <w:r w:rsidRPr="00420A46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43622556" w14:textId="77777777" w:rsidTr="0005797B">
        <w:tc>
          <w:tcPr>
            <w:tcW w:w="3397" w:type="dxa"/>
          </w:tcPr>
          <w:p w14:paraId="2DCFE20B" w14:textId="3C771824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proofErr w:type="spellStart"/>
            <w:r w:rsidRPr="00FD5FCD">
              <w:rPr>
                <w:rFonts w:cs="Times New Roman"/>
                <w:bCs/>
                <w:i/>
                <w:iCs/>
                <w:szCs w:val="24"/>
              </w:rPr>
              <w:lastRenderedPageBreak/>
              <w:t>Aftershow</w:t>
            </w:r>
            <w:proofErr w:type="spellEnd"/>
            <w:r w:rsidRPr="00FD5FCD">
              <w:rPr>
                <w:rFonts w:cs="Times New Roman"/>
                <w:bCs/>
                <w:i/>
                <w:iCs/>
                <w:szCs w:val="24"/>
              </w:rPr>
              <w:t xml:space="preserve"> </w:t>
            </w:r>
            <w:r w:rsidRPr="00FD5FCD">
              <w:rPr>
                <w:rFonts w:cs="Times New Roman"/>
                <w:bCs/>
                <w:szCs w:val="24"/>
              </w:rPr>
              <w:t>meelelahutus</w:t>
            </w:r>
            <w:r>
              <w:rPr>
                <w:rFonts w:cs="Times New Roman"/>
                <w:bCs/>
                <w:szCs w:val="24"/>
              </w:rPr>
              <w:t xml:space="preserve"> (ansambel ja DJ)</w:t>
            </w:r>
          </w:p>
        </w:tc>
        <w:tc>
          <w:tcPr>
            <w:tcW w:w="2439" w:type="dxa"/>
          </w:tcPr>
          <w:p w14:paraId="1B1F9E55" w14:textId="15CE211A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3000 eurot</w:t>
            </w:r>
          </w:p>
        </w:tc>
        <w:tc>
          <w:tcPr>
            <w:tcW w:w="3226" w:type="dxa"/>
          </w:tcPr>
          <w:p w14:paraId="2709F0A8" w14:textId="336AD8F0" w:rsidR="009D3594" w:rsidRPr="00420A46" w:rsidRDefault="00420A4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420A46">
              <w:rPr>
                <w:rFonts w:cs="Times New Roman"/>
                <w:bCs/>
                <w:szCs w:val="24"/>
              </w:rPr>
              <w:t>2640 eurot</w:t>
            </w:r>
          </w:p>
        </w:tc>
      </w:tr>
      <w:tr w:rsidR="009D3594" w14:paraId="58876FE9" w14:textId="77777777" w:rsidTr="0005797B">
        <w:tc>
          <w:tcPr>
            <w:tcW w:w="3397" w:type="dxa"/>
          </w:tcPr>
          <w:p w14:paraId="474D4219" w14:textId="420CA5B0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E47CCE">
              <w:rPr>
                <w:rFonts w:cs="Times New Roman"/>
                <w:bCs/>
                <w:szCs w:val="24"/>
              </w:rPr>
              <w:t>Infograafika, intervjuud, fotod</w:t>
            </w:r>
          </w:p>
        </w:tc>
        <w:tc>
          <w:tcPr>
            <w:tcW w:w="2439" w:type="dxa"/>
          </w:tcPr>
          <w:p w14:paraId="79ED898D" w14:textId="7CAE3EA8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5275 eurot</w:t>
            </w:r>
          </w:p>
        </w:tc>
        <w:tc>
          <w:tcPr>
            <w:tcW w:w="3226" w:type="dxa"/>
          </w:tcPr>
          <w:p w14:paraId="28C2E993" w14:textId="126E851A" w:rsidR="009D3594" w:rsidRPr="00420A46" w:rsidRDefault="004052CA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3200</w:t>
            </w:r>
            <w:r w:rsidR="00420A46" w:rsidRPr="00420A46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06A14C39" w14:textId="77777777" w:rsidTr="0005797B">
        <w:tc>
          <w:tcPr>
            <w:tcW w:w="3397" w:type="dxa"/>
          </w:tcPr>
          <w:p w14:paraId="4899F831" w14:textId="419ED1B7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E47CCE">
              <w:rPr>
                <w:rFonts w:cs="Times New Roman"/>
                <w:bCs/>
                <w:szCs w:val="24"/>
              </w:rPr>
              <w:t>Kujunduskulud</w:t>
            </w:r>
            <w:r>
              <w:rPr>
                <w:rFonts w:cs="Times New Roman"/>
                <w:bCs/>
                <w:szCs w:val="24"/>
              </w:rPr>
              <w:t xml:space="preserve"> (dekoratsioonid, lauakaunistused, õhtujuhtide kostüümid, trükiste kujundus)</w:t>
            </w:r>
          </w:p>
        </w:tc>
        <w:tc>
          <w:tcPr>
            <w:tcW w:w="2439" w:type="dxa"/>
          </w:tcPr>
          <w:p w14:paraId="55D34F69" w14:textId="6CE9F53D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2080 eurot</w:t>
            </w:r>
          </w:p>
        </w:tc>
        <w:tc>
          <w:tcPr>
            <w:tcW w:w="3226" w:type="dxa"/>
          </w:tcPr>
          <w:p w14:paraId="269A404B" w14:textId="0C35E928" w:rsidR="009D3594" w:rsidRPr="00420A46" w:rsidRDefault="00F62DAD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420A46">
              <w:rPr>
                <w:rFonts w:cs="Times New Roman"/>
                <w:bCs/>
                <w:szCs w:val="24"/>
              </w:rPr>
              <w:t>2767</w:t>
            </w:r>
            <w:r w:rsidR="00420A46" w:rsidRPr="00420A46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18B7FE25" w14:textId="77777777" w:rsidTr="0005797B">
        <w:tc>
          <w:tcPr>
            <w:tcW w:w="3397" w:type="dxa"/>
          </w:tcPr>
          <w:p w14:paraId="30BC4528" w14:textId="3F5A760D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i/>
                <w:iCs/>
                <w:szCs w:val="24"/>
              </w:rPr>
              <w:t xml:space="preserve">Catering </w:t>
            </w:r>
            <w:r w:rsidRPr="009D3594">
              <w:rPr>
                <w:rFonts w:cs="Times New Roman"/>
                <w:bCs/>
                <w:szCs w:val="24"/>
              </w:rPr>
              <w:t>(suupisted ja tervitusnaps)</w:t>
            </w:r>
          </w:p>
        </w:tc>
        <w:tc>
          <w:tcPr>
            <w:tcW w:w="2439" w:type="dxa"/>
          </w:tcPr>
          <w:p w14:paraId="41B5D717" w14:textId="4487DFCC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7500 eurot</w:t>
            </w:r>
          </w:p>
        </w:tc>
        <w:tc>
          <w:tcPr>
            <w:tcW w:w="3226" w:type="dxa"/>
          </w:tcPr>
          <w:p w14:paraId="780952BC" w14:textId="3C0A89EE" w:rsidR="009D3594" w:rsidRPr="00420A46" w:rsidRDefault="00F62DAD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420A46">
              <w:rPr>
                <w:rFonts w:cs="Times New Roman"/>
                <w:bCs/>
                <w:szCs w:val="24"/>
              </w:rPr>
              <w:t>2637</w:t>
            </w:r>
            <w:r w:rsidR="00420A46" w:rsidRPr="00420A46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9D3594" w14:paraId="25F96000" w14:textId="77777777" w:rsidTr="0005797B">
        <w:tc>
          <w:tcPr>
            <w:tcW w:w="3397" w:type="dxa"/>
          </w:tcPr>
          <w:p w14:paraId="0A142D0B" w14:textId="3D2BD5E1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E47CCE">
              <w:rPr>
                <w:rFonts w:cs="Times New Roman"/>
                <w:bCs/>
                <w:szCs w:val="24"/>
              </w:rPr>
              <w:t>Logistikakulud</w:t>
            </w:r>
          </w:p>
        </w:tc>
        <w:tc>
          <w:tcPr>
            <w:tcW w:w="2439" w:type="dxa"/>
          </w:tcPr>
          <w:p w14:paraId="4310A97B" w14:textId="37578029" w:rsidR="009D3594" w:rsidRPr="009D3594" w:rsidRDefault="009D3594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D3594">
              <w:rPr>
                <w:rFonts w:cs="Times New Roman"/>
                <w:bCs/>
                <w:szCs w:val="24"/>
              </w:rPr>
              <w:t>435 eurot</w:t>
            </w:r>
          </w:p>
        </w:tc>
        <w:tc>
          <w:tcPr>
            <w:tcW w:w="3226" w:type="dxa"/>
          </w:tcPr>
          <w:p w14:paraId="7142AD25" w14:textId="0B2EF619" w:rsidR="009D3594" w:rsidRPr="00420A46" w:rsidRDefault="00F62DAD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420A46">
              <w:rPr>
                <w:rFonts w:cs="Times New Roman"/>
                <w:bCs/>
                <w:szCs w:val="24"/>
              </w:rPr>
              <w:t>821</w:t>
            </w:r>
            <w:r w:rsidR="00420A46" w:rsidRPr="00420A46">
              <w:rPr>
                <w:rFonts w:cs="Times New Roman"/>
                <w:bCs/>
                <w:szCs w:val="24"/>
              </w:rPr>
              <w:t xml:space="preserve"> eurot</w:t>
            </w:r>
          </w:p>
        </w:tc>
      </w:tr>
      <w:tr w:rsidR="003806B6" w14:paraId="2014513B" w14:textId="77777777" w:rsidTr="0005797B">
        <w:tc>
          <w:tcPr>
            <w:tcW w:w="3397" w:type="dxa"/>
          </w:tcPr>
          <w:p w14:paraId="36647075" w14:textId="62729FCB" w:rsidR="003806B6" w:rsidRPr="00E47CCE" w:rsidRDefault="003806B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439" w:type="dxa"/>
          </w:tcPr>
          <w:p w14:paraId="463B0AA0" w14:textId="77777777" w:rsidR="003806B6" w:rsidRPr="009D3594" w:rsidRDefault="003806B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226" w:type="dxa"/>
          </w:tcPr>
          <w:p w14:paraId="621378F6" w14:textId="77777777" w:rsidR="003806B6" w:rsidRPr="00420A46" w:rsidRDefault="003806B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</w:tr>
      <w:tr w:rsidR="003806B6" w14:paraId="1EC01876" w14:textId="77777777" w:rsidTr="0005797B">
        <w:tc>
          <w:tcPr>
            <w:tcW w:w="3397" w:type="dxa"/>
          </w:tcPr>
          <w:p w14:paraId="28DE02EF" w14:textId="7BD3EE47" w:rsidR="003806B6" w:rsidRPr="00E47CCE" w:rsidRDefault="003806B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439" w:type="dxa"/>
          </w:tcPr>
          <w:p w14:paraId="682343B1" w14:textId="77777777" w:rsidR="003806B6" w:rsidRPr="009D3594" w:rsidRDefault="003806B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226" w:type="dxa"/>
          </w:tcPr>
          <w:p w14:paraId="2BE8D856" w14:textId="77777777" w:rsidR="003806B6" w:rsidRPr="00420A46" w:rsidRDefault="003806B6" w:rsidP="009D3594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</w:tr>
      <w:tr w:rsidR="009D3594" w14:paraId="4BF1F769" w14:textId="77777777" w:rsidTr="0005797B">
        <w:tc>
          <w:tcPr>
            <w:tcW w:w="3397" w:type="dxa"/>
          </w:tcPr>
          <w:p w14:paraId="273F38F3" w14:textId="77777777" w:rsidR="009D3594" w:rsidRDefault="009D3594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Kulud kokku</w:t>
            </w:r>
          </w:p>
        </w:tc>
        <w:tc>
          <w:tcPr>
            <w:tcW w:w="2439" w:type="dxa"/>
          </w:tcPr>
          <w:p w14:paraId="3F787A8D" w14:textId="0FB407B7" w:rsidR="009D3594" w:rsidRDefault="003806B6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106</w:t>
            </w:r>
            <w:r w:rsidR="003305D5">
              <w:rPr>
                <w:rFonts w:cs="Times New Roman"/>
                <w:b/>
                <w:szCs w:val="24"/>
              </w:rPr>
              <w:t> </w:t>
            </w:r>
            <w:r>
              <w:rPr>
                <w:rFonts w:cs="Times New Roman"/>
                <w:b/>
                <w:szCs w:val="24"/>
              </w:rPr>
              <w:t>802</w:t>
            </w:r>
            <w:r w:rsidR="003305D5">
              <w:rPr>
                <w:rFonts w:cs="Times New Roman"/>
                <w:b/>
                <w:szCs w:val="24"/>
              </w:rPr>
              <w:t xml:space="preserve"> eurot</w:t>
            </w:r>
          </w:p>
        </w:tc>
        <w:tc>
          <w:tcPr>
            <w:tcW w:w="3226" w:type="dxa"/>
          </w:tcPr>
          <w:p w14:paraId="0C023683" w14:textId="017B6FBD" w:rsidR="009D3594" w:rsidRDefault="002E26E1" w:rsidP="009D3594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4052CA">
              <w:rPr>
                <w:rFonts w:cs="Times New Roman"/>
                <w:b/>
                <w:szCs w:val="24"/>
              </w:rPr>
              <w:t>02</w:t>
            </w:r>
            <w:r w:rsidR="003305D5">
              <w:rPr>
                <w:rFonts w:cs="Times New Roman"/>
                <w:b/>
                <w:szCs w:val="24"/>
              </w:rPr>
              <w:t> </w:t>
            </w:r>
            <w:r w:rsidR="004052CA">
              <w:rPr>
                <w:rFonts w:cs="Times New Roman"/>
                <w:b/>
                <w:szCs w:val="24"/>
              </w:rPr>
              <w:t>989</w:t>
            </w:r>
            <w:r w:rsidR="003305D5">
              <w:rPr>
                <w:rFonts w:cs="Times New Roman"/>
                <w:b/>
                <w:szCs w:val="24"/>
              </w:rPr>
              <w:t xml:space="preserve"> eurot</w:t>
            </w:r>
          </w:p>
        </w:tc>
      </w:tr>
    </w:tbl>
    <w:p w14:paraId="1CAD5D59" w14:textId="77777777" w:rsidR="00693D8F" w:rsidRPr="00FF1BB8" w:rsidRDefault="00693D8F" w:rsidP="00693D8F">
      <w:pPr>
        <w:spacing w:line="360" w:lineRule="auto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659"/>
        <w:gridCol w:w="2999"/>
      </w:tblGrid>
      <w:tr w:rsidR="00693D8F" w14:paraId="4893A051" w14:textId="77777777" w:rsidTr="004A5EFC">
        <w:tc>
          <w:tcPr>
            <w:tcW w:w="3404" w:type="dxa"/>
          </w:tcPr>
          <w:p w14:paraId="41E2EFE1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59" w:type="dxa"/>
          </w:tcPr>
          <w:p w14:paraId="3A196EB1" w14:textId="6F53E83E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2999" w:type="dxa"/>
          </w:tcPr>
          <w:p w14:paraId="7CB861FA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12DB6F8E" w14:textId="77777777" w:rsidTr="004A5EFC">
        <w:tc>
          <w:tcPr>
            <w:tcW w:w="3404" w:type="dxa"/>
          </w:tcPr>
          <w:p w14:paraId="627A1DDD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Omafinantseering</w:t>
            </w:r>
          </w:p>
        </w:tc>
        <w:tc>
          <w:tcPr>
            <w:tcW w:w="2659" w:type="dxa"/>
          </w:tcPr>
          <w:p w14:paraId="01D88A58" w14:textId="7D790628" w:rsidR="00693D8F" w:rsidRDefault="00F8323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32512 eurot</w:t>
            </w:r>
          </w:p>
        </w:tc>
        <w:tc>
          <w:tcPr>
            <w:tcW w:w="2999" w:type="dxa"/>
          </w:tcPr>
          <w:p w14:paraId="6B400A63" w14:textId="1781757A" w:rsidR="00693D8F" w:rsidRDefault="004052CA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28699 eurot</w:t>
            </w:r>
          </w:p>
        </w:tc>
      </w:tr>
      <w:tr w:rsidR="00693D8F" w14:paraId="734A75D1" w14:textId="77777777" w:rsidTr="004A5EFC">
        <w:tc>
          <w:tcPr>
            <w:tcW w:w="3404" w:type="dxa"/>
          </w:tcPr>
          <w:p w14:paraId="0753613F" w14:textId="1E56478B" w:rsidR="00693D8F" w:rsidRPr="00727C72" w:rsidRDefault="00F8323D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Eesti Kultuurkapitali näitekunsti sihtkapital</w:t>
            </w:r>
          </w:p>
        </w:tc>
        <w:tc>
          <w:tcPr>
            <w:tcW w:w="2659" w:type="dxa"/>
          </w:tcPr>
          <w:p w14:paraId="24C66C61" w14:textId="7D4241E6" w:rsidR="00693D8F" w:rsidRDefault="00F8323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50000 eurot</w:t>
            </w:r>
          </w:p>
        </w:tc>
        <w:tc>
          <w:tcPr>
            <w:tcW w:w="2999" w:type="dxa"/>
          </w:tcPr>
          <w:p w14:paraId="6B388B72" w14:textId="6F936E50" w:rsidR="00693D8F" w:rsidRDefault="00F8323D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50000 eurot</w:t>
            </w:r>
          </w:p>
        </w:tc>
      </w:tr>
      <w:tr w:rsidR="00F8323D" w14:paraId="3ECFDAED" w14:textId="77777777" w:rsidTr="004A5EFC">
        <w:tc>
          <w:tcPr>
            <w:tcW w:w="3404" w:type="dxa"/>
          </w:tcPr>
          <w:p w14:paraId="0A96D83A" w14:textId="19842A8D" w:rsidR="00F8323D" w:rsidRPr="00727C72" w:rsidRDefault="00F8323D" w:rsidP="00F8323D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Justiitsministeeriumi IOT-toetus</w:t>
            </w:r>
          </w:p>
        </w:tc>
        <w:tc>
          <w:tcPr>
            <w:tcW w:w="2659" w:type="dxa"/>
          </w:tcPr>
          <w:p w14:paraId="57F1E1F1" w14:textId="6351A2D4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24290 eurot</w:t>
            </w:r>
          </w:p>
        </w:tc>
        <w:tc>
          <w:tcPr>
            <w:tcW w:w="2999" w:type="dxa"/>
          </w:tcPr>
          <w:p w14:paraId="7575AF38" w14:textId="0516CFB9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  <w:r w:rsidR="00420A46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290 eurot</w:t>
            </w:r>
          </w:p>
        </w:tc>
      </w:tr>
      <w:tr w:rsidR="00F8323D" w14:paraId="0B81AD3F" w14:textId="77777777" w:rsidTr="004A5EFC">
        <w:tc>
          <w:tcPr>
            <w:tcW w:w="3404" w:type="dxa"/>
          </w:tcPr>
          <w:p w14:paraId="470E7902" w14:textId="77777777" w:rsidR="00F8323D" w:rsidRPr="00727C72" w:rsidRDefault="00F8323D" w:rsidP="00F8323D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14:paraId="11452370" w14:textId="77777777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246D2DC5" w14:textId="77777777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F8323D" w14:paraId="424D7DF6" w14:textId="77777777" w:rsidTr="004A5EFC">
        <w:tc>
          <w:tcPr>
            <w:tcW w:w="3404" w:type="dxa"/>
          </w:tcPr>
          <w:p w14:paraId="291004DF" w14:textId="77777777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659" w:type="dxa"/>
          </w:tcPr>
          <w:p w14:paraId="6697BA46" w14:textId="77777777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65D1F268" w14:textId="77777777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F8323D" w14:paraId="5AA17878" w14:textId="77777777" w:rsidTr="004A5EFC">
        <w:tc>
          <w:tcPr>
            <w:tcW w:w="3404" w:type="dxa"/>
          </w:tcPr>
          <w:p w14:paraId="31E61BB6" w14:textId="77777777" w:rsidR="00F8323D" w:rsidRDefault="00F8323D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Tulud kokku</w:t>
            </w:r>
          </w:p>
        </w:tc>
        <w:tc>
          <w:tcPr>
            <w:tcW w:w="2659" w:type="dxa"/>
          </w:tcPr>
          <w:p w14:paraId="63C1EAAF" w14:textId="1C341CF1" w:rsidR="00F8323D" w:rsidRDefault="00B3703B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106 802 eurot</w:t>
            </w:r>
          </w:p>
        </w:tc>
        <w:tc>
          <w:tcPr>
            <w:tcW w:w="2999" w:type="dxa"/>
          </w:tcPr>
          <w:p w14:paraId="2155260D" w14:textId="010FF279" w:rsidR="00F8323D" w:rsidRDefault="004052CA" w:rsidP="00F8323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102</w:t>
            </w:r>
            <w:r w:rsidR="006F1A01">
              <w:rPr>
                <w:rFonts w:cs="Times New Roman"/>
                <w:b/>
                <w:szCs w:val="24"/>
              </w:rPr>
              <w:t> </w:t>
            </w:r>
            <w:r>
              <w:rPr>
                <w:rFonts w:cs="Times New Roman"/>
                <w:b/>
                <w:szCs w:val="24"/>
              </w:rPr>
              <w:t>989</w:t>
            </w:r>
            <w:r w:rsidR="006F1A01">
              <w:rPr>
                <w:rFonts w:cs="Times New Roman"/>
                <w:b/>
                <w:szCs w:val="24"/>
              </w:rPr>
              <w:t xml:space="preserve"> eurot</w:t>
            </w:r>
          </w:p>
        </w:tc>
      </w:tr>
    </w:tbl>
    <w:p w14:paraId="7F9772D3" w14:textId="77777777" w:rsidR="00693D8F" w:rsidRPr="00FF7991" w:rsidRDefault="00693D8F" w:rsidP="00693D8F">
      <w:pPr>
        <w:jc w:val="left"/>
        <w:rPr>
          <w:b/>
          <w:bCs/>
          <w:color w:val="000000" w:themeColor="text1"/>
        </w:rPr>
      </w:pPr>
    </w:p>
    <w:p w14:paraId="62E833A7" w14:textId="77777777" w:rsidR="00572FA1" w:rsidRDefault="00572FA1"/>
    <w:sectPr w:rsidR="0057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F"/>
    <w:rsid w:val="00000B50"/>
    <w:rsid w:val="0005797B"/>
    <w:rsid w:val="00060B29"/>
    <w:rsid w:val="0010658D"/>
    <w:rsid w:val="00166491"/>
    <w:rsid w:val="002C2D0C"/>
    <w:rsid w:val="002E26E1"/>
    <w:rsid w:val="003305D5"/>
    <w:rsid w:val="00363FFC"/>
    <w:rsid w:val="003806B6"/>
    <w:rsid w:val="0038617A"/>
    <w:rsid w:val="004052CA"/>
    <w:rsid w:val="00420A46"/>
    <w:rsid w:val="0054548D"/>
    <w:rsid w:val="005612C2"/>
    <w:rsid w:val="00572FA1"/>
    <w:rsid w:val="005C2C0D"/>
    <w:rsid w:val="00693D8F"/>
    <w:rsid w:val="006F1A01"/>
    <w:rsid w:val="007054CB"/>
    <w:rsid w:val="007A32B0"/>
    <w:rsid w:val="00955D7A"/>
    <w:rsid w:val="009D3594"/>
    <w:rsid w:val="00A2775D"/>
    <w:rsid w:val="00A45CB7"/>
    <w:rsid w:val="00B3703B"/>
    <w:rsid w:val="00CE6A1C"/>
    <w:rsid w:val="00DB5E21"/>
    <w:rsid w:val="00F2421E"/>
    <w:rsid w:val="00F37A32"/>
    <w:rsid w:val="00F62DAD"/>
    <w:rsid w:val="00F8323D"/>
    <w:rsid w:val="00F83AF4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D3982"/>
  <w15:chartTrackingRefBased/>
  <w15:docId w15:val="{DEC5BAC1-7D9C-4B9F-B21C-9F2B8FF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8F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D8F"/>
    <w:rPr>
      <w:color w:val="0000FF"/>
      <w:u w:val="single"/>
    </w:rPr>
  </w:style>
  <w:style w:type="table" w:styleId="TableGrid">
    <w:name w:val="Table Grid"/>
    <w:basedOn w:val="TableNormal"/>
    <w:uiPriority w:val="39"/>
    <w:rsid w:val="00693D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2D0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EE" w:eastAsia="en-GB"/>
    </w:rPr>
  </w:style>
  <w:style w:type="character" w:customStyle="1" w:styleId="apple-converted-space">
    <w:name w:val="apple-converted-space"/>
    <w:basedOn w:val="DefaultParagraphFont"/>
    <w:rsid w:val="002C2D0C"/>
  </w:style>
  <w:style w:type="character" w:styleId="UnresolvedMention">
    <w:name w:val="Unresolved Mention"/>
    <w:basedOn w:val="DefaultParagraphFont"/>
    <w:uiPriority w:val="99"/>
    <w:semiHidden/>
    <w:unhideWhenUsed/>
    <w:rsid w:val="0000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l.delfi.ee/artikkel/120366721/arvustus-pidu-parast-kummet-aastat-teatrivaikust-teatrigala-oli-sungest-alatoonist-hoolimata-vordlemisi-humoorikas" TargetMode="External"/><Relationship Id="rId4" Type="http://schemas.openxmlformats.org/officeDocument/2006/relationships/hyperlink" Target="mailto:info@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Nemvalts</dc:creator>
  <cp:keywords/>
  <dc:description/>
  <cp:lastModifiedBy>Von Krahl</cp:lastModifiedBy>
  <cp:revision>3</cp:revision>
  <dcterms:created xsi:type="dcterms:W3CDTF">2025-05-27T16:38:00Z</dcterms:created>
  <dcterms:modified xsi:type="dcterms:W3CDTF">2025-05-27T16:41:00Z</dcterms:modified>
</cp:coreProperties>
</file>